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jc w:val="center"/>
        <w:rPr>
          <w:rFonts w:hint="eastAsia" w:ascii="仿宋_GB2312" w:hAnsi="宋体" w:eastAsia="仿宋_GB2312" w:cs="宋体"/>
          <w:b/>
          <w:color w:val="555555"/>
          <w:kern w:val="0"/>
          <w:sz w:val="36"/>
          <w:szCs w:val="36"/>
        </w:rPr>
      </w:pPr>
      <w:r>
        <w:rPr>
          <w:rFonts w:hint="eastAsia" w:ascii="仿宋_GB2312" w:hAnsi="宋体" w:cs="宋体"/>
          <w:b/>
          <w:color w:val="555555"/>
          <w:kern w:val="0"/>
          <w:sz w:val="36"/>
          <w:szCs w:val="36"/>
        </w:rPr>
        <w:t>埇</w:t>
      </w:r>
      <w:r>
        <w:rPr>
          <w:rFonts w:hint="eastAsia" w:ascii="仿宋_GB2312" w:hAnsi="宋体" w:eastAsia="仿宋_GB2312" w:cs="宋体"/>
          <w:b/>
          <w:color w:val="555555"/>
          <w:kern w:val="0"/>
          <w:sz w:val="36"/>
          <w:szCs w:val="36"/>
        </w:rPr>
        <w:t>桥区医疗服务信息社会公开内容</w:t>
      </w:r>
    </w:p>
    <w:p>
      <w:pPr>
        <w:widowControl/>
        <w:spacing w:line="450" w:lineRule="atLeast"/>
        <w:jc w:val="left"/>
        <w:rPr>
          <w:rFonts w:hint="eastAsia" w:ascii="宋体" w:hAnsi="宋体" w:cs="宋体"/>
          <w:color w:val="555555"/>
          <w:kern w:val="0"/>
          <w:szCs w:val="21"/>
        </w:rPr>
      </w:pPr>
      <w:r>
        <w:rPr>
          <w:rFonts w:ascii="宋体" w:hAnsi="宋体" w:cs="宋体"/>
          <w:color w:val="555555"/>
          <w:kern w:val="0"/>
          <w:szCs w:val="21"/>
        </w:rPr>
        <w:t> </w:t>
      </w:r>
      <w:r>
        <w:rPr>
          <w:rFonts w:hint="eastAsia" w:ascii="宋体" w:hAnsi="宋体" w:cs="宋体"/>
          <w:color w:val="555555"/>
          <w:kern w:val="0"/>
          <w:szCs w:val="21"/>
        </w:rPr>
        <w:t>201</w:t>
      </w:r>
      <w:r>
        <w:rPr>
          <w:rFonts w:hint="eastAsia" w:ascii="宋体" w:hAnsi="宋体" w:cs="宋体"/>
          <w:color w:val="555555"/>
          <w:kern w:val="0"/>
          <w:szCs w:val="21"/>
          <w:lang w:val="en-US" w:eastAsia="zh-CN"/>
        </w:rPr>
        <w:t>8</w:t>
      </w:r>
      <w:r>
        <w:rPr>
          <w:rFonts w:hint="eastAsia" w:ascii="宋体" w:hAnsi="宋体" w:cs="宋体"/>
          <w:color w:val="555555"/>
          <w:kern w:val="0"/>
          <w:szCs w:val="21"/>
        </w:rPr>
        <w:t>年第</w:t>
      </w:r>
      <w:r>
        <w:rPr>
          <w:rFonts w:hint="eastAsia" w:ascii="宋体" w:hAnsi="宋体" w:cs="宋体"/>
          <w:color w:val="555555"/>
          <w:kern w:val="0"/>
          <w:szCs w:val="21"/>
          <w:lang w:val="en-US" w:eastAsia="zh-CN"/>
        </w:rPr>
        <w:t>4</w:t>
      </w:r>
      <w:r>
        <w:rPr>
          <w:rFonts w:hint="eastAsia" w:ascii="宋体" w:hAnsi="宋体" w:cs="宋体"/>
          <w:color w:val="555555"/>
          <w:kern w:val="0"/>
          <w:szCs w:val="21"/>
        </w:rPr>
        <w:t>季度（</w:t>
      </w:r>
      <w:r>
        <w:rPr>
          <w:rFonts w:hint="eastAsia" w:ascii="宋体" w:hAnsi="宋体" w:cs="宋体"/>
          <w:color w:val="555555"/>
          <w:kern w:val="0"/>
          <w:szCs w:val="21"/>
          <w:lang w:val="en-US" w:eastAsia="zh-CN"/>
        </w:rPr>
        <w:t>10-12</w:t>
      </w:r>
      <w:r>
        <w:rPr>
          <w:rFonts w:hint="eastAsia" w:ascii="宋体" w:hAnsi="宋体" w:cs="宋体"/>
          <w:color w:val="555555"/>
          <w:kern w:val="0"/>
          <w:szCs w:val="21"/>
        </w:rPr>
        <w:t xml:space="preserve">月）  </w:t>
      </w:r>
    </w:p>
    <w:tbl>
      <w:tblPr>
        <w:tblStyle w:val="3"/>
        <w:tblpPr w:leftFromText="180" w:rightFromText="180" w:vertAnchor="text" w:tblpY="1"/>
        <w:tblOverlap w:val="never"/>
        <w:tblW w:w="918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2"/>
        <w:gridCol w:w="2607"/>
        <w:gridCol w:w="540"/>
        <w:gridCol w:w="11"/>
        <w:gridCol w:w="177"/>
        <w:gridCol w:w="162"/>
        <w:gridCol w:w="561"/>
        <w:gridCol w:w="360"/>
        <w:gridCol w:w="1522"/>
        <w:gridCol w:w="15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信息分类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指标项目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0"/>
              </w:rPr>
              <w:t>本期数值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  <w:fitText w:val="960" w:id="1"/>
              </w:rPr>
              <w:t>上期数值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1.基本情况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1.1医疗机构等级与综合/专科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二甲综合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1.2 重点（特色）专科</w:t>
            </w: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国家级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省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55555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普外科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普外科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市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555555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  <w:lang w:eastAsia="zh-CN"/>
              </w:rPr>
              <w:t>神经内科、消化内科、麻醉科、重症医学科、泌尿外科、心内科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335" w:type="dxa"/>
            <w:gridSpan w:val="4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083" w:type="dxa"/>
            <w:gridSpan w:val="3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院  级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医疗费用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 xml:space="preserve">(2.1—2.5 </w:t>
            </w: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财务科填写）</w:t>
            </w: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（2.6医保科填写）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2.1 门诊患者人均医疗费用（元）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205.51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b w:val="0"/>
                <w:bCs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196.40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2.2 住院患者人均医疗费用（元）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5149.69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b w:val="0"/>
                <w:bCs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5034.67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2.3 药品占比（%）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0.25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0.23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4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中药饮片占比（%）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0.16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5</w:t>
            </w:r>
            <w:r>
              <w:rPr>
                <w:rFonts w:ascii="宋体" w:hAnsi="宋体" w:cs="宋体"/>
                <w:color w:val="555555"/>
                <w:kern w:val="0"/>
                <w:sz w:val="24"/>
              </w:rPr>
              <w:t>耗材占比（%）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0.14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555555"/>
                <w:kern w:val="0"/>
                <w:szCs w:val="21"/>
                <w:lang w:val="en-US" w:eastAsia="zh-CN"/>
              </w:rPr>
              <w:t>0.13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7478" w:type="dxa"/>
            <w:gridSpan w:val="9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2.6 医保及新农合</w:t>
            </w:r>
          </w:p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实际报销比例（%）</w:t>
            </w: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城镇职工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szCs w:val="24"/>
                <w:lang w:val="en-US" w:eastAsia="zh-CN"/>
              </w:rPr>
              <w:t>60.55%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  <w:lang w:val="en-US" w:eastAsia="zh-CN"/>
              </w:rPr>
              <w:t>66.66%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新 农 合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72.06%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  <w:lang w:val="en-US" w:eastAsia="zh-CN"/>
              </w:rPr>
              <w:t>68.14%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158" w:type="dxa"/>
            <w:gridSpan w:val="3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城镇居民</w:t>
            </w:r>
          </w:p>
        </w:tc>
        <w:tc>
          <w:tcPr>
            <w:tcW w:w="1522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szCs w:val="24"/>
                <w:lang w:val="en-US" w:eastAsia="zh-CN"/>
              </w:rPr>
              <w:t>69.10%</w:t>
            </w:r>
          </w:p>
        </w:tc>
        <w:tc>
          <w:tcPr>
            <w:tcW w:w="1538" w:type="dxa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szCs w:val="24"/>
                <w:lang w:val="en-US" w:eastAsia="zh-CN"/>
              </w:rPr>
              <w:t>72.09%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医疗质量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3.1—3.5信息中心填写）</w:t>
            </w: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（3.6药事科填写）</w:t>
            </w: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（3.9护理部填写）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3.1治愈好转率（%）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90.1%</w:t>
            </w:r>
            <w:bookmarkStart w:id="0" w:name="_GoBack"/>
            <w:bookmarkEnd w:id="0"/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89.4%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3.2 入出院诊断符合率（%）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99.4%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99.7%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3.3 手术前后诊断符合率（%）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98.4%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98.9%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3.4 急诊抢救成功率（%）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79.3%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72.3%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3.5大型设备检查阳性率（%）</w:t>
            </w: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彩超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73%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CT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81%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81%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497" w:type="dxa"/>
            <w:gridSpan w:val="5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921" w:type="dxa"/>
            <w:gridSpan w:val="2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MRI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88%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3.6抗菌药物使用强度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555555"/>
                <w:kern w:val="0"/>
                <w:szCs w:val="21"/>
                <w:lang w:val="en-US" w:eastAsia="zh-CN"/>
              </w:rPr>
              <w:t>40.15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3.7门诊输液率（%）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555555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3.8无菌手术切口感染率（%）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3.9 住院患者压疮发生率（%）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2.9%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运行效率</w:t>
            </w: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hint="eastAsia" w:ascii="宋体" w:hAnsi="宋体" w:cs="宋体" w:eastAsiaTheme="minorEastAsia"/>
                <w:color w:val="555555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eastAsia="zh-CN"/>
              </w:rPr>
              <w:t>（</w:t>
            </w: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4.1服务中心填写）</w:t>
            </w: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val="en-US" w:eastAsia="zh-CN"/>
              </w:rPr>
              <w:t>(4.2—4.4信息中心填写）</w:t>
            </w: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4.1 门诊挂号预约率（%）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2607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4.2 术前待床日（天）</w:t>
            </w:r>
          </w:p>
        </w:tc>
        <w:tc>
          <w:tcPr>
            <w:tcW w:w="728" w:type="dxa"/>
            <w:gridSpan w:val="3"/>
            <w:tcBorders>
              <w:righ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二类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三类</w:t>
            </w:r>
          </w:p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四类</w:t>
            </w:r>
          </w:p>
        </w:tc>
        <w:tc>
          <w:tcPr>
            <w:tcW w:w="723" w:type="dxa"/>
            <w:gridSpan w:val="2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360" w:type="dxa"/>
            <w:tcBorders>
              <w:left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无分类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1.6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1.6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4.3病床使用率（%）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86.3%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86.4%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</w:p>
        </w:tc>
        <w:tc>
          <w:tcPr>
            <w:tcW w:w="4418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4.4 出院者平均住院日（天）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6.1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6.0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702" w:type="dxa"/>
            <w:vMerge w:val="restar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患者满意度</w:t>
            </w:r>
          </w:p>
          <w:p>
            <w:pPr>
              <w:widowControl/>
              <w:numPr>
                <w:ilvl w:val="0"/>
                <w:numId w:val="0"/>
              </w:numPr>
              <w:spacing w:line="450" w:lineRule="atLeast"/>
              <w:jc w:val="both"/>
              <w:rPr>
                <w:rFonts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  <w:lang w:eastAsia="zh-CN"/>
              </w:rPr>
              <w:t>（服务中心、护理部、投诉中心）</w:t>
            </w:r>
          </w:p>
        </w:tc>
        <w:tc>
          <w:tcPr>
            <w:tcW w:w="3147" w:type="dxa"/>
            <w:gridSpan w:val="2"/>
            <w:vMerge w:val="restart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总体满意度（%）</w:t>
            </w:r>
          </w:p>
        </w:tc>
        <w:tc>
          <w:tcPr>
            <w:tcW w:w="1271" w:type="dxa"/>
            <w:gridSpan w:val="5"/>
            <w:tcBorders>
              <w:top w:val="nil"/>
            </w:tcBorders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Cs w:val="21"/>
              </w:rPr>
              <w:t>门诊患者</w:t>
            </w:r>
          </w:p>
        </w:tc>
        <w:tc>
          <w:tcPr>
            <w:tcW w:w="152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97.6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98.95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住院患者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98.62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97.92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widowControl/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出院患者</w:t>
            </w:r>
          </w:p>
        </w:tc>
        <w:tc>
          <w:tcPr>
            <w:tcW w:w="152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97.01</w:t>
            </w:r>
          </w:p>
        </w:tc>
        <w:tc>
          <w:tcPr>
            <w:tcW w:w="153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95.68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1702" w:type="dxa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3147" w:type="dxa"/>
            <w:gridSpan w:val="2"/>
            <w:vMerge w:val="continue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 w:val="24"/>
              </w:rPr>
            </w:pPr>
          </w:p>
        </w:tc>
        <w:tc>
          <w:tcPr>
            <w:tcW w:w="1271" w:type="dxa"/>
            <w:gridSpan w:val="5"/>
            <w:vAlign w:val="center"/>
          </w:tcPr>
          <w:p>
            <w:pPr>
              <w:spacing w:line="45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555555"/>
                <w:kern w:val="0"/>
                <w:sz w:val="24"/>
              </w:rPr>
              <w:t>合计：</w:t>
            </w:r>
          </w:p>
        </w:tc>
        <w:tc>
          <w:tcPr>
            <w:tcW w:w="1522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eastAsia" w:ascii="宋体" w:hAnsi="宋体" w:cs="宋体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97.74</w:t>
            </w:r>
          </w:p>
        </w:tc>
        <w:tc>
          <w:tcPr>
            <w:tcW w:w="1538" w:type="dxa"/>
            <w:vAlign w:val="center"/>
          </w:tcPr>
          <w:p>
            <w:pPr>
              <w:spacing w:line="450" w:lineRule="atLeast"/>
              <w:ind w:firstLine="240" w:firstLineChars="100"/>
              <w:jc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97.52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02" w:type="dxa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6.服务承诺</w:t>
            </w:r>
          </w:p>
        </w:tc>
        <w:tc>
          <w:tcPr>
            <w:tcW w:w="5940" w:type="dxa"/>
            <w:gridSpan w:val="8"/>
            <w:vAlign w:val="center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医疗机构服务承诺内容（见附件3）</w:t>
            </w:r>
          </w:p>
        </w:tc>
        <w:tc>
          <w:tcPr>
            <w:tcW w:w="1538" w:type="dxa"/>
            <w:vAlign w:val="center"/>
          </w:tcPr>
          <w:p>
            <w:pPr>
              <w:widowControl/>
              <w:spacing w:line="450" w:lineRule="atLeast"/>
              <w:jc w:val="both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80" w:type="dxa"/>
            <w:gridSpan w:val="10"/>
            <w:vAlign w:val="center"/>
          </w:tcPr>
          <w:p>
            <w:pPr>
              <w:widowControl/>
              <w:spacing w:line="450" w:lineRule="atLeast"/>
              <w:jc w:val="both"/>
            </w:pPr>
          </w:p>
        </w:tc>
      </w:tr>
    </w:tbl>
    <w:tbl>
      <w:tblPr>
        <w:tblStyle w:val="3"/>
        <w:tblpPr w:leftFromText="180" w:rightFromText="180" w:vertAnchor="text" w:horzAnchor="page" w:tblpX="1837" w:tblpY="1060"/>
        <w:tblOverlap w:val="never"/>
        <w:tblW w:w="9158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2578"/>
        <w:gridCol w:w="1742"/>
        <w:gridCol w:w="1858"/>
        <w:gridCol w:w="24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9158" w:type="dxa"/>
            <w:gridSpan w:val="5"/>
            <w:vAlign w:val="top"/>
          </w:tcPr>
          <w:p>
            <w:pPr>
              <w:widowControl/>
              <w:spacing w:line="45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color w:val="555555"/>
                <w:kern w:val="0"/>
                <w:sz w:val="24"/>
              </w:rPr>
              <w:t>住院患者前20位单病种平均费用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5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序号</w:t>
            </w:r>
          </w:p>
        </w:tc>
        <w:tc>
          <w:tcPr>
            <w:tcW w:w="257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hint="eastAsia" w:ascii="宋体" w:hAnsi="宋体" w:cs="宋体"/>
                <w:color w:val="555555"/>
                <w:kern w:val="0"/>
                <w:sz w:val="24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疾病名称</w:t>
            </w:r>
          </w:p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（按ICD-10编码分类）</w:t>
            </w:r>
          </w:p>
        </w:tc>
        <w:tc>
          <w:tcPr>
            <w:tcW w:w="1742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术式</w:t>
            </w:r>
          </w:p>
        </w:tc>
        <w:tc>
          <w:tcPr>
            <w:tcW w:w="1858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本期平均费用（元）</w:t>
            </w:r>
          </w:p>
        </w:tc>
        <w:tc>
          <w:tcPr>
            <w:tcW w:w="2440" w:type="dxa"/>
            <w:vAlign w:val="center"/>
          </w:tcPr>
          <w:p>
            <w:pPr>
              <w:widowControl/>
              <w:spacing w:line="400" w:lineRule="atLeast"/>
              <w:jc w:val="center"/>
              <w:rPr>
                <w:rFonts w:ascii="宋体" w:hAnsi="宋体" w:cs="宋体"/>
                <w:color w:val="555555"/>
                <w:kern w:val="0"/>
                <w:szCs w:val="21"/>
              </w:rPr>
            </w:pPr>
            <w:r>
              <w:rPr>
                <w:rFonts w:ascii="宋体" w:hAnsi="宋体" w:cs="宋体"/>
                <w:color w:val="555555"/>
                <w:kern w:val="0"/>
                <w:sz w:val="24"/>
              </w:rPr>
              <w:t>上期平均费用（元）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冠心病(诊断组)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4565.20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4368.14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急性糜烂性胃炎(诊断组)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3611.86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3529.08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脑梗死（诊断组）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5274.50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4567.14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Ⅱ型糖尿病(诊断组)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4111.34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3450.69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支气管肺炎(诊断组)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3271.98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3123.90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慢性阻塞性肺疾病急性加重期/慢性肺源性心脏病（诊断组）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4625.27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4566.61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眩晕综合征（诊断组）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3603.30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3506.20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高血压病（诊断组）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3563.57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3258.13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慢性阻塞性肺疾病（诊断组）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4600.53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4372.16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短暂性脑缺血发作（诊断组）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3722.76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3657.68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腰椎间盘突出症(诊断组)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7859.95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4472.98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社区获得性肺炎（诊断组）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4141.99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3890.88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急性胃炎（诊断组）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3726.09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3529.41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肝硬化腹水(诊断组)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4577.57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4196.66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胆囊疾病(炎症、息肉、结石等)(诊断组)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8850.17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8136.31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阑尾炎(诊断组)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6252.79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6834.01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老年性白内障(诊断组)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4190.82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4329.71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人工流产（诊断组）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3163.75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1943.47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颈椎病（诊断组）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4733.81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3965.91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31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FF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支气管扩张症（诊断组） </w:t>
            </w:r>
          </w:p>
        </w:tc>
        <w:tc>
          <w:tcPr>
            <w:tcW w:w="1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</w:p>
        </w:tc>
        <w:tc>
          <w:tcPr>
            <w:tcW w:w="18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4660.04 </w:t>
            </w:r>
          </w:p>
        </w:tc>
        <w:tc>
          <w:tcPr>
            <w:tcW w:w="24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4527.99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79DE33"/>
    <w:multiLevelType w:val="singleLevel"/>
    <w:tmpl w:val="5779DE33"/>
    <w:lvl w:ilvl="0" w:tentative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A0761C"/>
    <w:rsid w:val="5201206E"/>
    <w:rsid w:val="55AA46FD"/>
    <w:rsid w:val="62A0761C"/>
    <w:rsid w:val="64BE2BC5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2018-10-12T03:01:00Z</dcterms:created>
  <dc:creator>An1o</dc:creator>
  <cp:lastModifiedBy>An1o</cp:lastModifiedBy>
  <dcterms:modified xsi:type="dcterms:W3CDTF">2019-01-25T09:27:39Z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