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jc w:val="left"/>
        <w:rPr>
          <w:rFonts w:ascii="宋体" w:hAnsi="宋体" w:eastAsia="仿宋_GB2312" w:cs="宋体"/>
          <w:color w:val="555555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555555"/>
          <w:kern w:val="0"/>
          <w:sz w:val="32"/>
          <w:szCs w:val="32"/>
        </w:rPr>
        <w:t>附件1</w:t>
      </w:r>
      <w:r>
        <w:rPr>
          <w:rFonts w:hint="eastAsia" w:ascii="宋体" w:hAnsi="宋体" w:eastAsia="仿宋_GB2312" w:cs="宋体"/>
          <w:color w:val="555555"/>
          <w:kern w:val="0"/>
          <w:sz w:val="32"/>
          <w:szCs w:val="32"/>
        </w:rPr>
        <w:t>      </w:t>
      </w:r>
    </w:p>
    <w:p>
      <w:pPr>
        <w:widowControl/>
        <w:spacing w:line="450" w:lineRule="atLeast"/>
        <w:jc w:val="center"/>
        <w:rPr>
          <w:rFonts w:ascii="仿宋_GB2312" w:hAnsi="宋体" w:eastAsia="仿宋_GB2312" w:cs="宋体"/>
          <w:b/>
          <w:color w:val="555555"/>
          <w:kern w:val="0"/>
          <w:sz w:val="36"/>
          <w:szCs w:val="36"/>
        </w:rPr>
      </w:pPr>
      <w:r>
        <w:rPr>
          <w:rFonts w:hint="eastAsia" w:ascii="仿宋_GB2312" w:hAnsi="宋体" w:cs="宋体"/>
          <w:b/>
          <w:color w:val="555555"/>
          <w:kern w:val="0"/>
          <w:sz w:val="36"/>
          <w:szCs w:val="36"/>
        </w:rPr>
        <w:t>埇</w:t>
      </w:r>
      <w:r>
        <w:rPr>
          <w:rFonts w:hint="eastAsia" w:ascii="仿宋_GB2312" w:hAnsi="宋体" w:eastAsia="仿宋_GB2312" w:cs="宋体"/>
          <w:b/>
          <w:color w:val="555555"/>
          <w:kern w:val="0"/>
          <w:sz w:val="36"/>
          <w:szCs w:val="36"/>
        </w:rPr>
        <w:t>桥区医疗服务信息社会公开内容</w:t>
      </w:r>
    </w:p>
    <w:p>
      <w:pPr>
        <w:widowControl/>
        <w:spacing w:line="450" w:lineRule="atLeast"/>
        <w:jc w:val="left"/>
        <w:rPr>
          <w:rFonts w:ascii="宋体" w:hAnsi="宋体" w:cs="宋体"/>
          <w:color w:val="555555"/>
          <w:kern w:val="0"/>
          <w:szCs w:val="21"/>
        </w:rPr>
      </w:pPr>
      <w:r>
        <w:rPr>
          <w:rFonts w:ascii="宋体" w:hAnsi="宋体" w:cs="宋体"/>
          <w:color w:val="555555"/>
          <w:kern w:val="0"/>
          <w:szCs w:val="21"/>
        </w:rPr>
        <w:t> </w:t>
      </w:r>
      <w:r>
        <w:rPr>
          <w:rFonts w:hint="eastAsia" w:ascii="宋体" w:hAnsi="宋体" w:cs="宋体"/>
          <w:color w:val="555555"/>
          <w:kern w:val="0"/>
          <w:szCs w:val="21"/>
        </w:rPr>
        <w:t>2019年第</w:t>
      </w:r>
      <w:r>
        <w:rPr>
          <w:rFonts w:hint="eastAsia" w:ascii="宋体" w:hAnsi="宋体" w:cs="宋体"/>
          <w:color w:val="555555"/>
          <w:kern w:val="0"/>
          <w:szCs w:val="21"/>
          <w:lang w:eastAsia="zh-CN"/>
        </w:rPr>
        <w:t>二</w:t>
      </w:r>
      <w:bookmarkStart w:id="0" w:name="_GoBack"/>
      <w:bookmarkEnd w:id="0"/>
      <w:r>
        <w:rPr>
          <w:rFonts w:hint="eastAsia" w:ascii="宋体" w:hAnsi="宋体" w:cs="宋体"/>
          <w:color w:val="555555"/>
          <w:kern w:val="0"/>
          <w:szCs w:val="21"/>
        </w:rPr>
        <w:t>季度（</w:t>
      </w:r>
      <w:r>
        <w:rPr>
          <w:rFonts w:hint="eastAsia" w:ascii="宋体" w:hAnsi="宋体" w:cs="宋体"/>
          <w:color w:val="555555"/>
          <w:kern w:val="0"/>
          <w:szCs w:val="21"/>
          <w:lang w:val="en-US" w:eastAsia="zh-CN"/>
        </w:rPr>
        <w:t>4</w:t>
      </w:r>
      <w:r>
        <w:rPr>
          <w:rFonts w:hint="eastAsia" w:ascii="宋体" w:hAnsi="宋体" w:cs="宋体"/>
          <w:color w:val="555555"/>
          <w:kern w:val="0"/>
          <w:szCs w:val="21"/>
        </w:rPr>
        <w:t>-</w:t>
      </w:r>
      <w:r>
        <w:rPr>
          <w:rFonts w:hint="eastAsia" w:ascii="宋体" w:hAnsi="宋体" w:cs="宋体"/>
          <w:color w:val="555555"/>
          <w:kern w:val="0"/>
          <w:szCs w:val="21"/>
          <w:lang w:val="en-US" w:eastAsia="zh-CN"/>
        </w:rPr>
        <w:t>6</w:t>
      </w:r>
      <w:r>
        <w:rPr>
          <w:rFonts w:hint="eastAsia" w:ascii="宋体" w:hAnsi="宋体" w:cs="宋体"/>
          <w:color w:val="555555"/>
          <w:kern w:val="0"/>
          <w:szCs w:val="21"/>
        </w:rPr>
        <w:t xml:space="preserve">月）  </w:t>
      </w:r>
    </w:p>
    <w:tbl>
      <w:tblPr>
        <w:tblStyle w:val="2"/>
        <w:tblpPr w:leftFromText="180" w:rightFromText="180" w:vertAnchor="text" w:tblpY="1"/>
        <w:tblOverlap w:val="never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607"/>
        <w:gridCol w:w="540"/>
        <w:gridCol w:w="11"/>
        <w:gridCol w:w="177"/>
        <w:gridCol w:w="162"/>
        <w:gridCol w:w="561"/>
        <w:gridCol w:w="360"/>
        <w:gridCol w:w="1522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信息分类</w:t>
            </w: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指标项目</w:t>
            </w: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2019年一季度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w w:val="97"/>
                <w:kern w:val="0"/>
                <w:sz w:val="24"/>
                <w:fitText w:val="960" w:id="0"/>
              </w:rPr>
              <w:t>本期数</w:t>
            </w:r>
            <w:r>
              <w:rPr>
                <w:rFonts w:ascii="宋体" w:hAnsi="宋体" w:cs="宋体"/>
                <w:color w:val="555555"/>
                <w:spacing w:val="33"/>
                <w:w w:val="97"/>
                <w:kern w:val="0"/>
                <w:sz w:val="24"/>
                <w:fitText w:val="960" w:id="0"/>
              </w:rPr>
              <w:t>值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w w:val="97"/>
                <w:kern w:val="0"/>
                <w:sz w:val="24"/>
                <w:fitText w:val="960" w:id="1"/>
              </w:rPr>
              <w:t>上期数</w:t>
            </w:r>
            <w:r>
              <w:rPr>
                <w:rFonts w:ascii="宋体" w:hAnsi="宋体" w:cs="宋体"/>
                <w:color w:val="555555"/>
                <w:spacing w:val="33"/>
                <w:w w:val="97"/>
                <w:kern w:val="0"/>
                <w:sz w:val="24"/>
                <w:fitText w:val="960" w:id="1"/>
              </w:rPr>
              <w:t>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2" w:type="dxa"/>
            <w:vMerge w:val="restart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1.基本情况</w:t>
            </w: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1.1医疗机构等级与综合/专科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二甲综合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二甲综合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335" w:type="dxa"/>
            <w:gridSpan w:val="4"/>
            <w:vMerge w:val="restart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1.2 重点（特色）专科</w:t>
            </w:r>
          </w:p>
        </w:tc>
        <w:tc>
          <w:tcPr>
            <w:tcW w:w="1083" w:type="dxa"/>
            <w:gridSpan w:val="3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国家级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335" w:type="dxa"/>
            <w:gridSpan w:val="4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省  级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335" w:type="dxa"/>
            <w:gridSpan w:val="4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市  级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  <w:lang w:eastAsia="zh-CN"/>
              </w:rPr>
              <w:t>神经内科、消化内科、麻醉科、重症医学科、泌尿外科、心内科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  <w:lang w:eastAsia="zh-CN"/>
              </w:rPr>
              <w:t>神经内科、消化内科、麻醉科、重症医学科、泌尿外科、心内科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335" w:type="dxa"/>
            <w:gridSpan w:val="4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院  级</w:t>
            </w:r>
          </w:p>
        </w:tc>
        <w:tc>
          <w:tcPr>
            <w:tcW w:w="1522" w:type="dxa"/>
            <w:vAlign w:val="center"/>
          </w:tcPr>
          <w:p/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restart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医疗费用</w:t>
            </w: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 xml:space="preserve">(2.1—2.5 </w:t>
            </w:r>
          </w:p>
          <w:p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财务科填写）</w:t>
            </w:r>
          </w:p>
          <w:p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  <w:p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  <w:p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  <w:p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  <w:p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（2.6医保科填写）</w:t>
            </w: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2.1 门诊患者人均医疗费用（元）</w:t>
            </w:r>
          </w:p>
        </w:tc>
        <w:tc>
          <w:tcPr>
            <w:tcW w:w="15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203.12 </w:t>
            </w:r>
          </w:p>
        </w:tc>
        <w:tc>
          <w:tcPr>
            <w:tcW w:w="15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2.2 住院患者人均医疗费用（元）</w:t>
            </w:r>
          </w:p>
        </w:tc>
        <w:tc>
          <w:tcPr>
            <w:tcW w:w="15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5,367.41 </w:t>
            </w:r>
          </w:p>
        </w:tc>
        <w:tc>
          <w:tcPr>
            <w:tcW w:w="15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5367.41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2.3 药品占比（%）</w:t>
            </w:r>
          </w:p>
        </w:tc>
        <w:tc>
          <w:tcPr>
            <w:tcW w:w="15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Theme="minorEastAsia" w:hAnsiTheme="minorEastAsia" w:cstheme="minorEastAsia"/>
                <w:b w:val="0"/>
                <w:bCs w:val="0"/>
                <w:color w:val="555555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21.60%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555555"/>
                <w:kern w:val="0"/>
                <w:szCs w:val="21"/>
                <w:lang w:val="en-US" w:eastAsia="zh-CN"/>
              </w:rPr>
              <w:t>0.22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2.3.1中药饮片占比（%）</w:t>
            </w:r>
          </w:p>
        </w:tc>
        <w:tc>
          <w:tcPr>
            <w:tcW w:w="15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Theme="minorEastAsia" w:hAnsiTheme="minorEastAsia" w:cstheme="minorEastAsia"/>
                <w:b w:val="0"/>
                <w:bCs w:val="0"/>
                <w:color w:val="555555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3.91%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555555"/>
                <w:kern w:val="0"/>
                <w:szCs w:val="21"/>
                <w:lang w:val="en-US" w:eastAsia="zh-CN"/>
              </w:rPr>
              <w:t>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2.4 耗材占比（%）</w:t>
            </w:r>
          </w:p>
        </w:tc>
        <w:tc>
          <w:tcPr>
            <w:tcW w:w="15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Theme="minorEastAsia" w:hAnsiTheme="minorEastAsia" w:cstheme="minorEastAsia"/>
                <w:b w:val="0"/>
                <w:bCs w:val="0"/>
                <w:color w:val="555555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13.91%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555555"/>
                <w:kern w:val="0"/>
                <w:szCs w:val="21"/>
                <w:lang w:val="en-US" w:eastAsia="zh-CN"/>
              </w:rPr>
              <w:t>0.14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7478" w:type="dxa"/>
            <w:gridSpan w:val="9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2.5医疗机构住院患者单病种平均费用（见附件2）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3158" w:type="dxa"/>
            <w:gridSpan w:val="3"/>
            <w:vMerge w:val="restart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2.6 医保及新农合</w:t>
            </w:r>
          </w:p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实际报销比例（%）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城镇职工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default" w:ascii="宋体" w:hAnsi="宋体" w:cs="宋体" w:eastAsiaTheme="minorEastAsia"/>
                <w:color w:val="555555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  <w:lang w:val="en-US" w:eastAsia="zh-CN"/>
              </w:rPr>
              <w:t>69.28%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65.58%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315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新 农 合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default" w:ascii="宋体" w:hAnsi="宋体" w:cs="宋体" w:eastAsiaTheme="minorEastAsia"/>
                <w:color w:val="555555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  <w:lang w:val="en-US" w:eastAsia="zh-CN"/>
              </w:rPr>
              <w:t>71.55%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71.71%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315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城镇居民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default" w:ascii="宋体" w:hAnsi="宋体" w:cs="宋体" w:eastAsiaTheme="minorEastAsia"/>
                <w:color w:val="555555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  <w:lang w:val="en-US" w:eastAsia="zh-CN"/>
              </w:rPr>
              <w:t>68.93%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68.31%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restart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医疗质量</w:t>
            </w: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（3.1—3.5信息中心填写）</w:t>
            </w:r>
          </w:p>
          <w:p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  <w:p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（3.6药事科填写）</w:t>
            </w:r>
          </w:p>
          <w:p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  <w:p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（3.9护理部填写）</w:t>
            </w: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3.1治愈好转率（%）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89.1%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89.9%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3.2 入出院诊断符合率（%）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99.0%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99.1%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3.3 手术前后诊断符合率（%）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98.5%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98.8%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3.4 急诊抢救成功率（%）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75.6%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66.0%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3497" w:type="dxa"/>
            <w:gridSpan w:val="5"/>
            <w:vMerge w:val="restart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3.5大型设备检查阳性率（%）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彩超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71%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3497" w:type="dxa"/>
            <w:gridSpan w:val="5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921" w:type="dxa"/>
            <w:gridSpan w:val="2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CT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83%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3497" w:type="dxa"/>
            <w:gridSpan w:val="5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921" w:type="dxa"/>
            <w:gridSpan w:val="2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MRI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89%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3.6抗菌药物使用强度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default" w:ascii="宋体" w:hAnsi="宋体" w:eastAsia="宋体" w:cs="宋体"/>
                <w:color w:val="555555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555555"/>
                <w:kern w:val="0"/>
                <w:szCs w:val="21"/>
                <w:lang w:val="en-US" w:eastAsia="zh-CN"/>
              </w:rPr>
              <w:t>36.28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default" w:ascii="宋体" w:hAnsi="宋体" w:eastAsia="宋体" w:cs="宋体"/>
                <w:color w:val="555555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555555"/>
                <w:kern w:val="0"/>
                <w:szCs w:val="21"/>
                <w:lang w:val="en-US" w:eastAsia="zh-CN"/>
              </w:rPr>
              <w:t>39.88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3.7门诊输液率（%）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3.8无菌手术切口感染率（%）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3.9 住院患者压疮发生率（%）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restart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运行效率</w:t>
            </w:r>
          </w:p>
          <w:p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（4.1服务中心填写）</w:t>
            </w:r>
          </w:p>
          <w:p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(4.2—4.4信息中心填写）</w:t>
            </w: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4.1 门诊挂号预约率（%）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2607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4.2 术前待床日（天）</w:t>
            </w:r>
          </w:p>
        </w:tc>
        <w:tc>
          <w:tcPr>
            <w:tcW w:w="728" w:type="dxa"/>
            <w:gridSpan w:val="3"/>
            <w:tcBorders>
              <w:right w:val="nil"/>
            </w:tcBorders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二类</w:t>
            </w:r>
          </w:p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三类</w:t>
            </w:r>
          </w:p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四类</w:t>
            </w:r>
          </w:p>
        </w:tc>
        <w:tc>
          <w:tcPr>
            <w:tcW w:w="723" w:type="dxa"/>
            <w:gridSpan w:val="2"/>
            <w:tcBorders>
              <w:left w:val="nil"/>
            </w:tcBorders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360" w:type="dxa"/>
            <w:tcBorders>
              <w:left w:val="nil"/>
            </w:tcBorders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无分类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1.5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4.3病床使用率（%）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92.0%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103.0%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4.4 出院者平均住院日（天）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6.0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vMerge w:val="restart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5.患者满意度</w:t>
            </w:r>
          </w:p>
        </w:tc>
        <w:tc>
          <w:tcPr>
            <w:tcW w:w="3147" w:type="dxa"/>
            <w:gridSpan w:val="2"/>
            <w:vMerge w:val="restart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总体满意度（%）</w:t>
            </w:r>
          </w:p>
        </w:tc>
        <w:tc>
          <w:tcPr>
            <w:tcW w:w="1271" w:type="dxa"/>
            <w:gridSpan w:val="5"/>
            <w:tcBorders>
              <w:top w:val="nil"/>
            </w:tcBorders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门诊患者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147" w:type="dxa"/>
            <w:gridSpan w:val="2"/>
            <w:vMerge w:val="continue"/>
            <w:vAlign w:val="center"/>
          </w:tcPr>
          <w:p>
            <w:pPr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1271" w:type="dxa"/>
            <w:gridSpan w:val="5"/>
            <w:vAlign w:val="center"/>
          </w:tcPr>
          <w:p>
            <w:pPr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住院患者</w:t>
            </w:r>
          </w:p>
        </w:tc>
        <w:tc>
          <w:tcPr>
            <w:tcW w:w="1522" w:type="dxa"/>
            <w:vAlign w:val="center"/>
          </w:tcPr>
          <w:p>
            <w:pPr>
              <w:spacing w:line="450" w:lineRule="atLeast"/>
              <w:ind w:firstLine="120" w:firstLineChars="50"/>
              <w:jc w:val="center"/>
              <w:rPr>
                <w:rFonts w:hint="default" w:ascii="宋体" w:hAnsi="宋体" w:cs="宋体" w:eastAsiaTheme="minorEastAsia"/>
                <w:color w:val="555555"/>
                <w:kern w:val="0"/>
                <w:sz w:val="24"/>
                <w:lang w:val="en-US"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450" w:lineRule="atLeast"/>
              <w:ind w:firstLine="120" w:firstLineChars="50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  <w:lang w:val="en-US" w:eastAsia="zh-CN"/>
              </w:rPr>
              <w:t>97.88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147" w:type="dxa"/>
            <w:gridSpan w:val="2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1271" w:type="dxa"/>
            <w:gridSpan w:val="5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出院患者</w:t>
            </w:r>
          </w:p>
        </w:tc>
        <w:tc>
          <w:tcPr>
            <w:tcW w:w="1522" w:type="dxa"/>
            <w:vAlign w:val="center"/>
          </w:tcPr>
          <w:p>
            <w:pPr>
              <w:spacing w:line="450" w:lineRule="atLeast"/>
              <w:ind w:firstLine="240" w:firstLineChars="100"/>
              <w:jc w:val="center"/>
              <w:rPr>
                <w:rFonts w:hint="default" w:ascii="宋体" w:hAnsi="宋体" w:cs="宋体" w:eastAsiaTheme="minorEastAsia"/>
                <w:color w:val="555555"/>
                <w:kern w:val="0"/>
                <w:sz w:val="24"/>
                <w:lang w:val="en-US"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450" w:lineRule="atLeast"/>
              <w:ind w:firstLine="240" w:firstLineChars="100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  <w:lang w:val="en-US" w:eastAsia="zh-CN"/>
              </w:rPr>
              <w:t>97.29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147" w:type="dxa"/>
            <w:gridSpan w:val="2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1271" w:type="dxa"/>
            <w:gridSpan w:val="5"/>
            <w:vAlign w:val="center"/>
          </w:tcPr>
          <w:p>
            <w:pPr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合计：</w:t>
            </w:r>
          </w:p>
        </w:tc>
        <w:tc>
          <w:tcPr>
            <w:tcW w:w="1522" w:type="dxa"/>
            <w:vAlign w:val="center"/>
          </w:tcPr>
          <w:p>
            <w:pPr>
              <w:spacing w:line="450" w:lineRule="atLeast"/>
              <w:ind w:firstLine="240" w:firstLineChars="100"/>
              <w:jc w:val="center"/>
              <w:rPr>
                <w:rFonts w:hint="default" w:ascii="宋体" w:hAnsi="宋体" w:cs="宋体" w:eastAsiaTheme="minorEastAsia"/>
                <w:color w:val="555555"/>
                <w:kern w:val="0"/>
                <w:sz w:val="24"/>
                <w:lang w:val="en-US"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450" w:lineRule="atLeast"/>
              <w:ind w:firstLine="240" w:firstLineChars="100"/>
              <w:jc w:val="center"/>
              <w:rPr>
                <w:rFonts w:hint="default" w:ascii="宋体" w:hAnsi="宋体" w:cs="宋体" w:eastAsiaTheme="minorEastAsia"/>
                <w:color w:val="55555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  <w:lang w:val="en-US" w:eastAsia="zh-CN"/>
              </w:rPr>
              <w:t>97.96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6.服务承诺</w:t>
            </w:r>
          </w:p>
        </w:tc>
        <w:tc>
          <w:tcPr>
            <w:tcW w:w="7478" w:type="dxa"/>
            <w:gridSpan w:val="9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医疗机构服务承诺内容（见附件3）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tbl>
      <w:tblPr>
        <w:tblStyle w:val="2"/>
        <w:tblpPr w:leftFromText="180" w:rightFromText="180" w:vertAnchor="text" w:horzAnchor="page" w:tblpX="1837" w:tblpY="1060"/>
        <w:tblOverlap w:val="never"/>
        <w:tblW w:w="9158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578"/>
        <w:gridCol w:w="1742"/>
        <w:gridCol w:w="1858"/>
        <w:gridCol w:w="2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158" w:type="dxa"/>
            <w:gridSpan w:val="5"/>
            <w:vAlign w:val="top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住院患者前20位单病种平均费用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40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序号</w:t>
            </w:r>
          </w:p>
        </w:tc>
        <w:tc>
          <w:tcPr>
            <w:tcW w:w="2578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疾病名称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（按ICD-10编码分类）</w:t>
            </w:r>
          </w:p>
        </w:tc>
        <w:tc>
          <w:tcPr>
            <w:tcW w:w="1742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术式</w:t>
            </w:r>
          </w:p>
        </w:tc>
        <w:tc>
          <w:tcPr>
            <w:tcW w:w="1858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本期平均费用（元）</w:t>
            </w:r>
          </w:p>
        </w:tc>
        <w:tc>
          <w:tcPr>
            <w:tcW w:w="2440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上期平均费用（元）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冠心病(诊断组) 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4710.97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4679.19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急性糜烂性胃炎(诊断组) 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3603.60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3488.68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脑梗死（诊断组） 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4489.79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4652.76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Ⅱ型糖尿病(诊断组) 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3720.51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3878.41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支气管肺炎(诊断组) 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3387.09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3196.53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慢性阻塞性肺疾病急性加重期/慢性肺源性心脏病（诊断组） 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4663.80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4735.48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高血压病（诊断组） 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3696.36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3592.48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眩晕综合征（诊断组） 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3538.68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3578.56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慢性阻塞性肺疾病（诊断组） 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4559.26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4763.68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短暂性脑缺血发作（诊断组） 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3731.51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3631.29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社区获得性肺炎（诊断组） 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3766.73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3880.17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腰椎间盘突出症(诊断组) 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5130.52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5730.52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肠梗阻(诊断组) 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4642.95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3998.11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阑尾炎(诊断组) 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7207.25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6923.31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老年性白内障(诊断组) 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4181.48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4218.00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急性胃炎（诊断组） 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3537.07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3551.07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颈椎病（诊断组） 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4319.67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4390.70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胆囊疾病(炎症、息肉、结石等)(诊断组) 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8294.72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7900.80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功能（障碍）性子宫出血（诊断组） 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4072.17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3266.80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支气管扩张症（诊断组） 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4118.62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4559.62 </w:t>
            </w:r>
          </w:p>
        </w:tc>
      </w:tr>
    </w:tbl>
    <w:p/>
    <w:p/>
    <w:p/>
    <w:p/>
    <w:p>
      <w:pPr>
        <w:widowControl/>
        <w:tabs>
          <w:tab w:val="left" w:pos="1050"/>
        </w:tabs>
        <w:spacing w:line="450" w:lineRule="atLeast"/>
        <w:jc w:val="left"/>
        <w:rPr>
          <w:rFonts w:hint="eastAsia" w:ascii="宋体" w:hAnsi="宋体" w:cs="宋体"/>
          <w:color w:val="555555"/>
          <w:kern w:val="0"/>
          <w:sz w:val="24"/>
        </w:rPr>
      </w:pPr>
    </w:p>
    <w:p>
      <w:pPr>
        <w:widowControl/>
        <w:tabs>
          <w:tab w:val="left" w:pos="1050"/>
        </w:tabs>
        <w:spacing w:line="450" w:lineRule="atLeast"/>
        <w:jc w:val="left"/>
        <w:rPr>
          <w:rFonts w:hint="eastAsia" w:ascii="宋体" w:hAnsi="宋体" w:cs="宋体"/>
          <w:color w:val="555555"/>
          <w:kern w:val="0"/>
          <w:sz w:val="24"/>
        </w:rPr>
      </w:pPr>
    </w:p>
    <w:p>
      <w:pPr>
        <w:widowControl/>
        <w:tabs>
          <w:tab w:val="left" w:pos="1050"/>
        </w:tabs>
        <w:spacing w:line="450" w:lineRule="atLeast"/>
        <w:jc w:val="left"/>
        <w:rPr>
          <w:rFonts w:ascii="宋体" w:hAnsi="宋体" w:cs="宋体"/>
          <w:color w:val="555555"/>
          <w:kern w:val="0"/>
          <w:szCs w:val="21"/>
        </w:rPr>
      </w:pPr>
      <w:r>
        <w:rPr>
          <w:rFonts w:hint="eastAsia" w:ascii="宋体" w:hAnsi="宋体" w:cs="宋体"/>
          <w:color w:val="555555"/>
          <w:kern w:val="0"/>
          <w:sz w:val="24"/>
        </w:rPr>
        <w:t>信息中心填表说明;:1.</w:t>
      </w:r>
      <w:r>
        <w:rPr>
          <w:rFonts w:ascii="宋体" w:hAnsi="宋体" w:cs="宋体"/>
          <w:color w:val="555555"/>
          <w:kern w:val="0"/>
          <w:sz w:val="24"/>
        </w:rPr>
        <w:t xml:space="preserve"> 总体满意度（%）</w:t>
      </w:r>
      <w:r>
        <w:rPr>
          <w:rFonts w:hint="eastAsia" w:ascii="宋体" w:hAnsi="宋体" w:cs="宋体"/>
          <w:color w:val="555555"/>
          <w:kern w:val="0"/>
          <w:sz w:val="24"/>
        </w:rPr>
        <w:t>=门诊+住院中+出院</w:t>
      </w:r>
    </w:p>
    <w:p>
      <w:pPr>
        <w:widowControl/>
        <w:spacing w:line="450" w:lineRule="atLeast"/>
        <w:ind w:firstLine="2040" w:firstLineChars="850"/>
        <w:jc w:val="left"/>
        <w:rPr>
          <w:rFonts w:ascii="宋体" w:hAnsi="宋体" w:cs="宋体"/>
          <w:color w:val="555555"/>
          <w:kern w:val="0"/>
          <w:szCs w:val="21"/>
        </w:rPr>
      </w:pPr>
      <w:r>
        <w:rPr>
          <w:rFonts w:hint="eastAsia" w:ascii="宋体" w:hAnsi="宋体" w:cs="宋体"/>
          <w:color w:val="555555"/>
          <w:kern w:val="0"/>
          <w:sz w:val="24"/>
        </w:rPr>
        <w:t>2.</w:t>
      </w:r>
      <w:r>
        <w:rPr>
          <w:rFonts w:ascii="宋体" w:hAnsi="宋体" w:cs="宋体"/>
          <w:color w:val="555555"/>
          <w:kern w:val="0"/>
          <w:sz w:val="24"/>
        </w:rPr>
        <w:t>大型设备检查阳性率</w:t>
      </w:r>
      <w:r>
        <w:rPr>
          <w:rFonts w:hint="eastAsia" w:ascii="宋体" w:hAnsi="宋体" w:cs="宋体"/>
          <w:color w:val="555555"/>
          <w:kern w:val="0"/>
          <w:sz w:val="24"/>
        </w:rPr>
        <w:t>：</w:t>
      </w:r>
      <w:r>
        <w:rPr>
          <w:rFonts w:ascii="宋体" w:hAnsi="宋体" w:cs="宋体"/>
          <w:color w:val="555555"/>
          <w:kern w:val="0"/>
          <w:sz w:val="24"/>
        </w:rPr>
        <w:t>彩超</w:t>
      </w:r>
      <w:r>
        <w:rPr>
          <w:rFonts w:hint="eastAsia" w:ascii="宋体" w:hAnsi="宋体" w:cs="宋体"/>
          <w:color w:val="555555"/>
          <w:kern w:val="0"/>
          <w:sz w:val="24"/>
        </w:rPr>
        <w:t>、</w:t>
      </w:r>
      <w:r>
        <w:rPr>
          <w:rFonts w:ascii="宋体" w:hAnsi="宋体" w:cs="宋体"/>
          <w:color w:val="555555"/>
          <w:kern w:val="0"/>
          <w:sz w:val="24"/>
        </w:rPr>
        <w:t>CT</w:t>
      </w:r>
      <w:r>
        <w:rPr>
          <w:rFonts w:hint="eastAsia" w:ascii="宋体" w:hAnsi="宋体" w:cs="宋体"/>
          <w:color w:val="555555"/>
          <w:kern w:val="0"/>
          <w:sz w:val="24"/>
        </w:rPr>
        <w:t>、</w:t>
      </w:r>
      <w:r>
        <w:rPr>
          <w:rFonts w:ascii="宋体" w:hAnsi="宋体" w:cs="宋体"/>
          <w:color w:val="555555"/>
          <w:kern w:val="0"/>
          <w:sz w:val="24"/>
        </w:rPr>
        <w:t>MRI </w:t>
      </w:r>
      <w:r>
        <w:rPr>
          <w:rFonts w:hint="eastAsia" w:ascii="宋体" w:hAnsi="宋体" w:cs="宋体"/>
          <w:color w:val="555555"/>
          <w:kern w:val="0"/>
          <w:sz w:val="24"/>
        </w:rPr>
        <w:t>均获科主任认可</w:t>
      </w:r>
    </w:p>
    <w:p>
      <w:pPr>
        <w:widowControl/>
        <w:tabs>
          <w:tab w:val="left" w:pos="2100"/>
        </w:tabs>
        <w:spacing w:line="450" w:lineRule="atLeast"/>
        <w:jc w:val="left"/>
        <w:rPr>
          <w:rFonts w:ascii="宋体" w:hAnsi="宋体" w:cs="宋体"/>
          <w:color w:val="555555"/>
          <w:kern w:val="0"/>
          <w:szCs w:val="21"/>
        </w:rPr>
      </w:pPr>
      <w:r>
        <w:rPr>
          <w:rFonts w:ascii="宋体" w:hAnsi="宋体" w:cs="宋体"/>
          <w:color w:val="555555"/>
          <w:kern w:val="0"/>
          <w:sz w:val="24"/>
        </w:rPr>
        <w:t> </w:t>
      </w:r>
      <w:r>
        <w:rPr>
          <w:rFonts w:hint="eastAsia" w:ascii="宋体" w:hAnsi="宋体" w:cs="宋体"/>
          <w:color w:val="555555"/>
          <w:kern w:val="0"/>
          <w:sz w:val="24"/>
        </w:rPr>
        <w:tab/>
      </w:r>
      <w:r>
        <w:rPr>
          <w:rFonts w:hint="eastAsia" w:ascii="宋体" w:hAnsi="宋体" w:cs="宋体"/>
          <w:color w:val="555555"/>
          <w:kern w:val="0"/>
          <w:sz w:val="24"/>
        </w:rPr>
        <w:t>3.治愈率好转率：病案首页统计项目已取消</w:t>
      </w:r>
    </w:p>
    <w:p>
      <w:pPr>
        <w:widowControl/>
        <w:tabs>
          <w:tab w:val="left" w:pos="2100"/>
        </w:tabs>
        <w:spacing w:line="450" w:lineRule="atLeast"/>
        <w:jc w:val="left"/>
        <w:rPr>
          <w:rFonts w:ascii="宋体" w:hAnsi="宋体" w:cs="宋体"/>
          <w:color w:val="555555"/>
          <w:kern w:val="0"/>
          <w:szCs w:val="21"/>
        </w:rPr>
      </w:pPr>
      <w:r>
        <w:rPr>
          <w:rFonts w:hint="eastAsia" w:ascii="宋体" w:hAnsi="宋体" w:cs="宋体"/>
          <w:color w:val="555555"/>
          <w:kern w:val="0"/>
          <w:szCs w:val="21"/>
        </w:rPr>
        <w:tab/>
      </w:r>
      <w:r>
        <w:rPr>
          <w:rFonts w:hint="eastAsia" w:ascii="宋体" w:hAnsi="宋体" w:cs="宋体"/>
          <w:color w:val="555555"/>
          <w:kern w:val="0"/>
          <w:szCs w:val="21"/>
        </w:rPr>
        <w:t>4.术前待床日：无分类术前待床日</w:t>
      </w:r>
    </w:p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9DE33"/>
    <w:multiLevelType w:val="singleLevel"/>
    <w:tmpl w:val="5779DE33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70A88"/>
    <w:rsid w:val="0BDD4F2B"/>
    <w:rsid w:val="19770A88"/>
    <w:rsid w:val="1FF16815"/>
    <w:rsid w:val="366A0882"/>
    <w:rsid w:val="396852BD"/>
    <w:rsid w:val="4876304A"/>
    <w:rsid w:val="61F73456"/>
    <w:rsid w:val="6E5A1A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2019-04-17T07:49:00Z</dcterms:created>
  <dc:creator>An1o</dc:creator>
  <cp:lastModifiedBy>An1o</cp:lastModifiedBy>
  <dcterms:modified xsi:type="dcterms:W3CDTF">2019-07-15T07:03:10Z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