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ascii="宋体" w:hAnsi="宋体" w:eastAsia="仿宋_GB2312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  <w:t>附件1</w:t>
      </w:r>
      <w:r>
        <w:rPr>
          <w:rFonts w:hint="eastAsia" w:ascii="宋体" w:hAnsi="宋体" w:eastAsia="仿宋_GB2312" w:cs="宋体"/>
          <w:color w:val="555555"/>
          <w:kern w:val="0"/>
          <w:sz w:val="32"/>
          <w:szCs w:val="32"/>
        </w:rPr>
        <w:t>      </w:t>
      </w:r>
    </w:p>
    <w:p>
      <w:pPr>
        <w:widowControl/>
        <w:spacing w:line="450" w:lineRule="atLeast"/>
        <w:jc w:val="center"/>
        <w:rPr>
          <w:rFonts w:ascii="仿宋_GB2312" w:hAnsi="宋体" w:eastAsia="仿宋_GB2312" w:cs="宋体"/>
          <w:b/>
          <w:color w:val="555555"/>
          <w:kern w:val="0"/>
          <w:sz w:val="36"/>
          <w:szCs w:val="36"/>
        </w:rPr>
      </w:pPr>
      <w:r>
        <w:rPr>
          <w:rFonts w:hint="eastAsia" w:ascii="仿宋_GB2312" w:hAnsi="宋体" w:cs="宋体"/>
          <w:b/>
          <w:color w:val="555555"/>
          <w:kern w:val="0"/>
          <w:sz w:val="36"/>
          <w:szCs w:val="36"/>
        </w:rPr>
        <w:t>埇</w:t>
      </w:r>
      <w:r>
        <w:rPr>
          <w:rFonts w:hint="eastAsia" w:ascii="仿宋_GB2312" w:hAnsi="宋体" w:eastAsia="仿宋_GB2312" w:cs="宋体"/>
          <w:b/>
          <w:color w:val="555555"/>
          <w:kern w:val="0"/>
          <w:sz w:val="36"/>
          <w:szCs w:val="36"/>
        </w:rPr>
        <w:t>桥区医疗服务信息社会公开内容</w:t>
      </w: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Cs w:val="21"/>
        </w:rPr>
        <w:t> </w:t>
      </w:r>
      <w:r>
        <w:rPr>
          <w:rFonts w:hint="eastAsia" w:ascii="宋体" w:hAnsi="宋体" w:cs="宋体"/>
          <w:color w:val="555555"/>
          <w:kern w:val="0"/>
          <w:szCs w:val="21"/>
        </w:rPr>
        <w:t>2019年第</w:t>
      </w:r>
      <w:r>
        <w:rPr>
          <w:rFonts w:hint="eastAsia" w:ascii="宋体" w:hAnsi="宋体" w:cs="宋体"/>
          <w:color w:val="555555"/>
          <w:kern w:val="0"/>
          <w:szCs w:val="21"/>
          <w:lang w:eastAsia="zh-CN"/>
        </w:rPr>
        <w:t>三</w:t>
      </w:r>
      <w:r>
        <w:rPr>
          <w:rFonts w:hint="eastAsia" w:ascii="宋体" w:hAnsi="宋体" w:cs="宋体"/>
          <w:color w:val="555555"/>
          <w:kern w:val="0"/>
          <w:szCs w:val="21"/>
        </w:rPr>
        <w:t>季度（</w:t>
      </w:r>
      <w:r>
        <w:rPr>
          <w:rFonts w:hint="eastAsia" w:ascii="宋体" w:hAnsi="宋体" w:cs="宋体"/>
          <w:color w:val="555555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color w:val="555555"/>
          <w:kern w:val="0"/>
          <w:szCs w:val="21"/>
        </w:rPr>
        <w:t>-</w:t>
      </w:r>
      <w:r>
        <w:rPr>
          <w:rFonts w:hint="eastAsia" w:ascii="宋体" w:hAnsi="宋体" w:cs="宋体"/>
          <w:color w:val="555555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color w:val="555555"/>
          <w:kern w:val="0"/>
          <w:szCs w:val="21"/>
        </w:rPr>
        <w:t xml:space="preserve">月）  </w:t>
      </w:r>
    </w:p>
    <w:tbl>
      <w:tblPr>
        <w:tblStyle w:val="2"/>
        <w:tblpPr w:leftFromText="180" w:rightFromText="180" w:vertAnchor="text" w:tblpY="1"/>
        <w:tblOverlap w:val="never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指标项目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2019年一季度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w w:val="97"/>
                <w:kern w:val="0"/>
                <w:sz w:val="24"/>
                <w:fitText w:val="960" w:id="0"/>
              </w:rPr>
              <w:t>本期数</w:t>
            </w:r>
            <w:r>
              <w:rPr>
                <w:rFonts w:ascii="宋体" w:hAnsi="宋体" w:cs="宋体"/>
                <w:color w:val="555555"/>
                <w:spacing w:val="33"/>
                <w:w w:val="97"/>
                <w:kern w:val="0"/>
                <w:sz w:val="24"/>
                <w:fitText w:val="960" w:id="0"/>
              </w:rPr>
              <w:t>值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w w:val="97"/>
                <w:kern w:val="0"/>
                <w:sz w:val="24"/>
                <w:fitText w:val="960" w:id="1"/>
              </w:rPr>
              <w:t>上期数</w:t>
            </w:r>
            <w:r>
              <w:rPr>
                <w:rFonts w:ascii="宋体" w:hAnsi="宋体" w:cs="宋体"/>
                <w:color w:val="555555"/>
                <w:spacing w:val="33"/>
                <w:w w:val="97"/>
                <w:kern w:val="0"/>
                <w:sz w:val="24"/>
                <w:fitText w:val="960" w:id="1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二甲综合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二甲综合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神经内科、消化内科、麻醉科、重症医学科、泌尿外科、心内科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神经内科、消化内科、麻醉科、重症医学科、泌尿外科、心内科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/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医疗费用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 xml:space="preserve">(2.1—2.5 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财务科填写）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219.49 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208.23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5603.26 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5,452.69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22.67%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2.3.1中药饮片占比（%）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4.44%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2.4 耗材占比（%）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14.50%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2.5医疗机构住院患者单病种平均费用（见附件2）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2.6 医保及新农合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实际报销比例（%）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68.10%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65.58%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新 农 合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69.36%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71.71%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城镇居民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65.98%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68.31%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医疗质量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（3.1—3.5信息中心填写）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（3.6药事科填写）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（3.9护理部填写）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3.1治愈好转率（%）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86.2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89.1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99.2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99.0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98.4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98.5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73.2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75.6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72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71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82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83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88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89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  <w:t>37.76%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555555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  <w:t>36.28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3.7门诊输液率（%）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3.9 住院患者压疮发生率（%）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运行效率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（4.1服务中心填写）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(4.2—4.4信息中心填写）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二类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三类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1.5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96.3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92.0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6.0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5.患者满意度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val="en-US" w:eastAsia="zh-CN"/>
              </w:rPr>
              <w:t>98.65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120" w:firstLineChars="5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98.47</w:t>
            </w: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120" w:firstLineChars="50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97.31</w:t>
            </w: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98.14</w:t>
            </w: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医疗机构服务承诺内容（见附件3）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pPr w:leftFromText="180" w:rightFromText="180" w:vertAnchor="text" w:horzAnchor="page" w:tblpX="1837" w:tblpY="1060"/>
        <w:tblOverlap w:val="never"/>
        <w:tblW w:w="915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78"/>
        <w:gridCol w:w="1742"/>
        <w:gridCol w:w="1858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58" w:type="dxa"/>
            <w:gridSpan w:val="5"/>
            <w:vAlign w:val="top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住院患者前20位单病种平均费用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序号</w:t>
            </w:r>
          </w:p>
        </w:tc>
        <w:tc>
          <w:tcPr>
            <w:tcW w:w="257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疾病名称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（按ICD-10编码分类）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术式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本期平均费用（元）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上期平均费用（元）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冠心病(诊断组)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4585.04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4710.97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急性糜烂性胃炎(诊断组)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3733.11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3603.60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脑梗死（诊断组）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4679.29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4489.79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慢性阻塞性肺疾病急性加重期/慢性肺源性心脏病（诊断组）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3768.31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3720.51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短暂性脑缺血发作（诊断组）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4722.03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4663.80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眩晕综合征（诊断组）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3705.67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3731.51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支气管肺炎(诊断组)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3473.67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3538.68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包茎包皮(诊断组)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3089.67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3387.09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社区获得性肺炎（诊断组）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1673.59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慢性阻塞性肺疾病（诊断组）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4294.43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3766.73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高血压病（诊断组）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4796.97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4559.26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功能（障碍）性子宫出血（诊断组）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3528.85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3696.36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肠梗阻(诊断组)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4052.32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4072.17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人工流产（诊断组）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3232.31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4642.95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老年性白内障(诊断组)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3187.86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3221.00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腰椎间盘突出症(诊断组)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4416.65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4181.48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肝硬化腹水(诊断组)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4784.50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5130.52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急性胃炎（诊断组）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4446.06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4593.49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阑尾炎(诊断组)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4017.13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3537.07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腰椎间盘突出症(诊断组) 计数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7324.22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7207.25 </w:t>
            </w:r>
          </w:p>
        </w:tc>
      </w:tr>
    </w:tbl>
    <w:p/>
    <w:p/>
    <w:p/>
    <w:p/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信息中心填表说明;:1.</w:t>
      </w:r>
      <w:r>
        <w:rPr>
          <w:rFonts w:ascii="宋体" w:hAnsi="宋体" w:cs="宋体"/>
          <w:color w:val="555555"/>
          <w:kern w:val="0"/>
          <w:sz w:val="24"/>
        </w:rPr>
        <w:t xml:space="preserve"> 总体满意度（%）</w:t>
      </w:r>
      <w:r>
        <w:rPr>
          <w:rFonts w:hint="eastAsia" w:ascii="宋体" w:hAnsi="宋体" w:cs="宋体"/>
          <w:color w:val="555555"/>
          <w:kern w:val="0"/>
          <w:sz w:val="24"/>
        </w:rPr>
        <w:t>=门诊+住院中+出院</w:t>
      </w:r>
    </w:p>
    <w:p>
      <w:pPr>
        <w:widowControl/>
        <w:spacing w:line="450" w:lineRule="atLeast"/>
        <w:ind w:firstLine="2040" w:firstLineChars="85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2.</w:t>
      </w:r>
      <w:r>
        <w:rPr>
          <w:rFonts w:ascii="宋体" w:hAnsi="宋体" w:cs="宋体"/>
          <w:color w:val="555555"/>
          <w:kern w:val="0"/>
          <w:sz w:val="24"/>
        </w:rPr>
        <w:t>大型设备检查阳性率</w:t>
      </w:r>
      <w:r>
        <w:rPr>
          <w:rFonts w:hint="eastAsia" w:ascii="宋体" w:hAnsi="宋体" w:cs="宋体"/>
          <w:color w:val="555555"/>
          <w:kern w:val="0"/>
          <w:sz w:val="24"/>
        </w:rPr>
        <w:t>：</w:t>
      </w:r>
      <w:r>
        <w:rPr>
          <w:rFonts w:ascii="宋体" w:hAnsi="宋体" w:cs="宋体"/>
          <w:color w:val="555555"/>
          <w:kern w:val="0"/>
          <w:sz w:val="24"/>
        </w:rPr>
        <w:t>彩超</w:t>
      </w:r>
      <w:r>
        <w:rPr>
          <w:rFonts w:hint="eastAsia" w:ascii="宋体" w:hAnsi="宋体" w:cs="宋体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CT</w:t>
      </w:r>
      <w:r>
        <w:rPr>
          <w:rFonts w:hint="eastAsia" w:ascii="宋体" w:hAnsi="宋体" w:cs="宋体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MRI </w:t>
      </w:r>
      <w:r>
        <w:rPr>
          <w:rFonts w:hint="eastAsia" w:ascii="宋体" w:hAnsi="宋体" w:cs="宋体"/>
          <w:color w:val="555555"/>
          <w:kern w:val="0"/>
          <w:sz w:val="24"/>
        </w:rPr>
        <w:t>均获科主任认可</w:t>
      </w:r>
    </w:p>
    <w:p>
      <w:pPr>
        <w:widowControl/>
        <w:tabs>
          <w:tab w:val="left" w:pos="210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  <w:r>
        <w:rPr>
          <w:rFonts w:hint="eastAsia" w:ascii="宋体" w:hAnsi="宋体" w:cs="宋体"/>
          <w:color w:val="555555"/>
          <w:kern w:val="0"/>
          <w:sz w:val="24"/>
        </w:rPr>
        <w:tab/>
      </w:r>
      <w:r>
        <w:rPr>
          <w:rFonts w:hint="eastAsia" w:ascii="宋体" w:hAnsi="宋体" w:cs="宋体"/>
          <w:color w:val="555555"/>
          <w:kern w:val="0"/>
          <w:sz w:val="24"/>
        </w:rPr>
        <w:t>3.治愈率好转率：病案首页统计项目已取消</w:t>
      </w:r>
    </w:p>
    <w:p>
      <w:pPr>
        <w:widowControl/>
        <w:tabs>
          <w:tab w:val="left" w:pos="2100"/>
        </w:tabs>
        <w:spacing w:line="450" w:lineRule="atLeast"/>
        <w:jc w:val="left"/>
      </w:pPr>
      <w:r>
        <w:rPr>
          <w:rFonts w:hint="eastAsia" w:ascii="宋体" w:hAnsi="宋体" w:cs="宋体"/>
          <w:color w:val="555555"/>
          <w:kern w:val="0"/>
          <w:szCs w:val="21"/>
        </w:rPr>
        <w:tab/>
      </w:r>
      <w:r>
        <w:rPr>
          <w:rFonts w:hint="eastAsia" w:ascii="宋体" w:hAnsi="宋体" w:cs="宋体"/>
          <w:color w:val="555555"/>
          <w:kern w:val="0"/>
          <w:szCs w:val="21"/>
        </w:rPr>
        <w:t>4.术前待床日：无分类术前待床日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DE33"/>
    <w:multiLevelType w:val="singleLevel"/>
    <w:tmpl w:val="5779DE3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6B32"/>
    <w:rsid w:val="1BE46B32"/>
    <w:rsid w:val="68276CA4"/>
    <w:rsid w:val="68602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An1o</dc:creator>
  <cp:lastModifiedBy>An1o</cp:lastModifiedBy>
  <dcterms:modified xsi:type="dcterms:W3CDTF">2019-10-15T07:45:50Z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